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color w:val="646464"/>
          <w:sz w:val="16"/>
        </w:rPr>
        <w:t>Synthetic Series A Data Room | July 2026</w:t>
      </w:r>
    </w:p>
    <w:p>
      <w:pPr>
        <w:pStyle w:val="Title"/>
        <w:jc w:val="left"/>
      </w:pPr>
      <w:r>
        <w:rPr>
          <w:rFonts w:ascii="Aptos Display" w:hAnsi="Aptos Display"/>
          <w:b/>
          <w:color w:val="0B1F33"/>
          <w:sz w:val="44"/>
        </w:rPr>
        <w:t>Legal and IP Summary</w:t>
      </w:r>
    </w:p>
    <w:p>
      <w:r>
        <w:rPr>
          <w:i/>
          <w:color w:val="5A5A5A"/>
          <w:sz w:val="18"/>
        </w:rPr>
        <w:t>Loopline Systems, Inc. - confidential sample document for Base testing</w:t>
      </w:r>
    </w:p>
    <w:p/>
    <w:p>
      <w:pPr>
        <w:pStyle w:val="Heading1"/>
      </w:pPr>
      <w:r>
        <w:t>Corporate overview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Item</w:t>
            </w:r>
          </w:p>
        </w:tc>
        <w:tc>
          <w:tcPr>
            <w:tcW w:type="dxa" w:w="5040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Status</w:t>
            </w:r>
          </w:p>
        </w:tc>
      </w:tr>
      <w:tr>
        <w:tc>
          <w:tcPr>
            <w:tcW w:type="dxa" w:w="504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Entity</w:t>
            </w:r>
          </w:p>
        </w:tc>
        <w:tc>
          <w:tcPr>
            <w:tcW w:type="dxa" w:w="504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Loopline Systems, Inc., Delaware C-corporation formed March 18, 2023.</w:t>
            </w:r>
          </w:p>
        </w:tc>
      </w:tr>
      <w:tr>
        <w:tc>
          <w:tcPr>
            <w:tcW w:type="dxa" w:w="504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Good standing</w:t>
            </w:r>
          </w:p>
        </w:tc>
        <w:tc>
          <w:tcPr>
            <w:tcW w:type="dxa" w:w="504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Delaware and New York good standing certificates requested July 2, 2026.</w:t>
            </w:r>
          </w:p>
        </w:tc>
      </w:tr>
      <w:tr>
        <w:tc>
          <w:tcPr>
            <w:tcW w:type="dxa" w:w="504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Equity plan</w:t>
            </w:r>
          </w:p>
        </w:tc>
        <w:tc>
          <w:tcPr>
            <w:tcW w:type="dxa" w:w="504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2023 Equity Incentive Plan, amended March 2025. Proposed Series A refresh pending.</w:t>
            </w:r>
          </w:p>
        </w:tc>
      </w:tr>
      <w:tr>
        <w:tc>
          <w:tcPr>
            <w:tcW w:type="dxa" w:w="504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Data privacy</w:t>
            </w:r>
          </w:p>
        </w:tc>
        <w:tc>
          <w:tcPr>
            <w:tcW w:type="dxa" w:w="504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Standard DPA in place for 11 of 14 paid customers. Three non-standard exhibits under review.</w:t>
            </w:r>
          </w:p>
        </w:tc>
      </w:tr>
    </w:tbl>
    <w:p>
      <w:pPr>
        <w:pStyle w:val="Heading1"/>
      </w:pPr>
      <w:r>
        <w:t>Intellectual property</w:t>
      </w:r>
    </w:p>
    <w:p>
      <w:pPr>
        <w:pStyle w:val="ListBullet"/>
      </w:pPr>
      <w:r>
        <w:t>All current employees have signed invention assignment and confidentiality agreements.</w:t>
      </w:r>
    </w:p>
    <w:p>
      <w:pPr>
        <w:pStyle w:val="ListBullet"/>
      </w:pPr>
      <w:r>
        <w:t>Two 2025 consultants who contributed connector scripts require countersigned cleanup assignments before Series A close.</w:t>
      </w:r>
    </w:p>
    <w:p>
      <w:pPr>
        <w:pStyle w:val="ListBullet"/>
      </w:pPr>
      <w:r>
        <w:t>No patents filed. Trade secret protection centered on connector mapping library, workflow templates, and evaluation harnesses.</w:t>
      </w:r>
    </w:p>
    <w:p>
      <w:pPr>
        <w:pStyle w:val="ListBullet"/>
      </w:pPr>
      <w:r>
        <w:t>Open-source dependencies are tracked in the dependency registry. No known copyleft dependencies in core hosted service.</w:t>
      </w:r>
    </w:p>
    <w:p>
      <w:pPr>
        <w:pStyle w:val="Heading1"/>
      </w:pPr>
      <w:r>
        <w:t>Commercial contract notes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3360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Customer contract issue</w:t>
            </w:r>
          </w:p>
        </w:tc>
        <w:tc>
          <w:tcPr>
            <w:tcW w:type="dxa" w:w="3360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Count</w:t>
            </w:r>
          </w:p>
        </w:tc>
        <w:tc>
          <w:tcPr>
            <w:tcW w:type="dxa" w:w="3360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Implication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Standard Loopline MSA + DPA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11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No special diligence concern.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Customer security exhibit modifies audit rights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2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Counsel reviewing whether language limits subcontractor model providers.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Customer requests local data processing addendum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1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May require EU data residency before expansion.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787878"/>
        <w:sz w:val="16"/>
      </w:rPr>
      <w:t>Confidential sample, not real company information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1F4E79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