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color w:val="646464"/>
          <w:sz w:val="16"/>
        </w:rPr>
        <w:t>Synthetic Series A Data Room | July 2026</w:t>
      </w:r>
    </w:p>
    <w:p>
      <w:pPr>
        <w:pStyle w:val="Title"/>
        <w:jc w:val="left"/>
      </w:pPr>
      <w:r>
        <w:rPr>
          <w:rFonts w:ascii="Aptos Display" w:hAnsi="Aptos Display"/>
          <w:b/>
          <w:color w:val="0B1F33"/>
          <w:sz w:val="44"/>
        </w:rPr>
        <w:t>Board Minutes Extract</w:t>
      </w:r>
    </w:p>
    <w:p>
      <w:r>
        <w:rPr>
          <w:i/>
          <w:color w:val="5A5A5A"/>
          <w:sz w:val="18"/>
        </w:rPr>
        <w:t>Loopline Systems, Inc. - confidential sample document for Base testing</w:t>
      </w:r>
    </w:p>
    <w:p/>
    <w:p>
      <w:pPr>
        <w:pStyle w:val="Heading1"/>
      </w:pPr>
      <w:r>
        <w:t>Special meeting of the Board of Directors</w:t>
      </w:r>
    </w:p>
    <w:p>
      <w:r>
        <w:t>Date: June 28, 2026. This extract is a synthetic sample and omits unrelated routine governance items.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60"/>
        <w:gridCol w:w="3360"/>
        <w:gridCol w:w="3360"/>
      </w:tblGrid>
      <w:tr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Topic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Discussion summary</w:t>
            </w:r>
          </w:p>
        </w:tc>
        <w:tc>
          <w:tcPr>
            <w:tcW w:type="dxa" w:w="3360"/>
            <w:shd w:fill="1F4E79"/>
          </w:tcPr>
          <w:p>
            <w:pPr>
              <w:jc w:val="left"/>
            </w:pPr>
            <w:r>
              <w:rPr>
                <w:color w:val="FFFFFF"/>
              </w:rPr>
            </w:r>
            <w:r>
              <w:rPr>
                <w:b/>
                <w:color w:val="FFFFFF"/>
                <w:sz w:val="18"/>
              </w:rPr>
              <w:t>Action item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Series A process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Management reviewed investor feedback from 18 meetings. Board agreed the strongest positioning is workflow intelligence for regional logistics operators, not generic AI automation.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Proceed with Series A materials and target first close by September 30, 2026.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Hiring plan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VP Sales search narrowed to two candidates. Engineering capacity is constrained by connector requests from enterprise prospects.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CEO to present candidate references by July 20, 2026. CTO to rank connector backlog.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Financial plan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Base case shows cash-out date in November 2026 without financing. Series A plan funds 24 months of runway.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CFO to prepare downside model with 60-day delayed close.</w:t>
            </w:r>
          </w:p>
        </w:tc>
      </w:tr>
      <w:tr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Legal cleanup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Counsel noted two former consultants need final IP assignment confirmations.</w:t>
            </w:r>
          </w:p>
        </w:tc>
        <w:tc>
          <w:tcPr>
            <w:tcW w:type="dxa" w:w="3360"/>
            <w:vAlign w:val="top"/>
          </w:tcPr>
          <w:p>
            <w:pPr>
              <w:jc w:val="left"/>
            </w:pPr>
            <w:r/>
            <w:r>
              <w:rPr>
                <w:b w:val="0"/>
                <w:sz w:val="18"/>
              </w:rPr>
              <w:t>GC to complete cleanup before priced round closing.</w:t>
            </w:r>
          </w:p>
        </w:tc>
      </w:tr>
    </w:tbl>
    <w:p>
      <w:pPr>
        <w:pStyle w:val="Heading1"/>
      </w:pPr>
      <w:r>
        <w:t>Resolutions</w:t>
      </w:r>
    </w:p>
    <w:p>
      <w:pPr>
        <w:pStyle w:val="ListBullet"/>
      </w:pPr>
      <w:r>
        <w:t>Approved management to circulate the Series A data room to qualified investors under NDA.</w:t>
      </w:r>
    </w:p>
    <w:p>
      <w:pPr>
        <w:pStyle w:val="ListBullet"/>
      </w:pPr>
      <w:r>
        <w:t>Approved budget for SOC 2 readiness work, not to exceed $120,000 through December 2026.</w:t>
      </w:r>
    </w:p>
    <w:p>
      <w:pPr>
        <w:pStyle w:val="ListBullet"/>
      </w:pPr>
      <w:r>
        <w:t>Authorized the CEO and CFO to negotiate a non-binding term sheet consistent with the proposed raise parameters.</w:t>
      </w:r>
    </w:p>
    <w:sectPr w:rsidR="00FC693F" w:rsidRPr="0006063C" w:rsidSect="00034616">
      <w:footerReference w:type="default" r:id="rId9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Confidential sample, not real company information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1F4E79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