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color w:val="646464"/>
          <w:sz w:val="16"/>
        </w:rPr>
        <w:t>Synthetic Series A Data Room | July 2026</w:t>
      </w:r>
    </w:p>
    <w:p>
      <w:pPr>
        <w:pStyle w:val="Title"/>
        <w:jc w:val="left"/>
      </w:pPr>
      <w:r>
        <w:rPr>
          <w:rFonts w:ascii="Aptos Display" w:hAnsi="Aptos Display"/>
          <w:b/>
          <w:color w:val="0B1F33"/>
          <w:sz w:val="44"/>
        </w:rPr>
        <w:t>Investor Diligence Q&amp;A</w:t>
      </w:r>
    </w:p>
    <w:p>
      <w:r>
        <w:rPr>
          <w:i/>
          <w:color w:val="5A5A5A"/>
          <w:sz w:val="18"/>
        </w:rPr>
        <w:t>Loopline Systems, Inc. - confidential sample document for Base testing</w:t>
      </w:r>
    </w:p>
    <w:p/>
    <w:p>
      <w:pPr>
        <w:pStyle w:val="Heading1"/>
      </w:pPr>
      <w:r>
        <w:t>Frequently asked diligence questions</w:t>
      </w:r>
    </w:p>
    <w:p>
      <w:r>
        <w:rPr>
          <w:b/>
        </w:rPr>
        <w:t>Why now?</w:t>
      </w:r>
      <w:r>
        <w:br/>
        <w:t>Operators are under margin pressure, legacy TMS tools do not solve cross-system exception work, and AI adoption has opened budget for operational intelligence when buyers can see a measurable ROI.</w:t>
      </w:r>
    </w:p>
    <w:p>
      <w:r>
        <w:rPr>
          <w:b/>
        </w:rPr>
        <w:t>What is the wedge?</w:t>
      </w:r>
      <w:r>
        <w:br/>
        <w:t>Start with one painful workflow, usually detention dispute recovery or missed pickup remediation. Expand into additional exception workflows once the data graph is trusted.</w:t>
      </w:r>
    </w:p>
    <w:p>
      <w:r>
        <w:rPr>
          <w:b/>
        </w:rPr>
        <w:t>What is the measurable ROI?</w:t>
      </w:r>
      <w:r>
        <w:br/>
        <w:t>Customers report 18-32% faster exception resolution, 9-14% reduction in missed billable accessorials, and 6-10 hours saved per planner per week in the first two workflows.</w:t>
      </w:r>
    </w:p>
    <w:p>
      <w:r>
        <w:rPr>
          <w:b/>
        </w:rPr>
        <w:t>Why cannot a TMS vendor build this?</w:t>
      </w:r>
      <w:r>
        <w:br/>
        <w:t>TMS vendors own one system of record but do not span email, documents, telematics, contracts, and customer-specific SOPs. Loopline sits above those systems and makes workflow state portable.</w:t>
      </w:r>
    </w:p>
    <w:p>
      <w:r>
        <w:rPr>
          <w:b/>
        </w:rPr>
        <w:t>What does AI do?</w:t>
      </w:r>
      <w:r>
        <w:br/>
        <w:t>AI drafts messages, summarizes evidence, recommends next actions, scores confidence, and flags missing source material. The system is designed around human-in-the-loop controls.</w:t>
      </w:r>
    </w:p>
    <w:p>
      <w:r>
        <w:rPr>
          <w:b/>
        </w:rPr>
        <w:t>What are the biggest open items?</w:t>
      </w:r>
      <w:r>
        <w:br/>
        <w:t>Improving connector coverage, shortening implementation time, and proving repeatable sales motion beyond founder-led deals.</w:t>
      </w:r>
    </w:p>
    <w:p>
      <w:pPr>
        <w:pStyle w:val="Heading1"/>
      </w:pPr>
      <w:r>
        <w:t>Document cross-reference tests for Base</w:t>
      </w:r>
    </w:p>
    <w:p>
      <w:pPr>
        <w:pStyle w:val="ListBullet"/>
      </w:pPr>
      <w:r>
        <w:t>ARR appears as $1.86M booked in KPI files and $1.9M rounded in pitch materials.</w:t>
      </w:r>
    </w:p>
    <w:p>
      <w:pPr>
        <w:pStyle w:val="ListBullet"/>
      </w:pPr>
      <w:r>
        <w:t>The term sheet assumes a 12.5% post-money option pool, while the cap table includes a proposed 13.0% management model scenario.</w:t>
      </w:r>
    </w:p>
    <w:p>
      <w:pPr>
        <w:pStyle w:val="ListBullet"/>
      </w:pPr>
      <w:r>
        <w:t>The customer count is expressed as 14 paid, 13 live plus 1 implementation, or 12 referenceable depending on document context.</w:t>
      </w:r>
    </w:p>
    <w:p>
      <w:pPr>
        <w:pStyle w:val="ListBullet"/>
      </w:pPr>
      <w:r>
        <w:t>Legal diligence calls out IP assignment cleanup for 2025 consultants, which also appears in the term sheet closing conditions.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Confidential sample, not real company information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4E79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