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color w:val="646464"/>
          <w:sz w:val="16"/>
        </w:rPr>
        <w:t>Synthetic Series A Data Room | July 2026</w:t>
      </w:r>
    </w:p>
    <w:p>
      <w:pPr>
        <w:pStyle w:val="Title"/>
        <w:jc w:val="left"/>
      </w:pPr>
      <w:r>
        <w:rPr>
          <w:rFonts w:ascii="Aptos Display" w:hAnsi="Aptos Display"/>
          <w:b/>
          <w:color w:val="0B1F33"/>
          <w:sz w:val="44"/>
        </w:rPr>
        <w:t>Customer Reference Notes</w:t>
      </w:r>
    </w:p>
    <w:p>
      <w:r>
        <w:rPr>
          <w:i/>
          <w:color w:val="5A5A5A"/>
          <w:sz w:val="18"/>
        </w:rPr>
        <w:t>Loopline Systems, Inc. - confidential sample document for Base testing</w:t>
      </w:r>
    </w:p>
    <w:p/>
    <w:p>
      <w:pPr>
        <w:pStyle w:val="Heading1"/>
      </w:pPr>
      <w:r>
        <w:t>Referenceable customers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016"/>
        <w:gridCol w:w="2016"/>
        <w:gridCol w:w="2016"/>
        <w:gridCol w:w="2016"/>
        <w:gridCol w:w="2016"/>
      </w:tblGrid>
      <w:tr>
        <w:tc>
          <w:tcPr>
            <w:tcW w:type="dxa" w:w="2016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Customer</w:t>
            </w:r>
          </w:p>
        </w:tc>
        <w:tc>
          <w:tcPr>
            <w:tcW w:type="dxa" w:w="2016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Segment</w:t>
            </w:r>
          </w:p>
        </w:tc>
        <w:tc>
          <w:tcPr>
            <w:tcW w:type="dxa" w:w="2016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ARR</w:t>
            </w:r>
          </w:p>
        </w:tc>
        <w:tc>
          <w:tcPr>
            <w:tcW w:type="dxa" w:w="2016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Reference status</w:t>
            </w:r>
          </w:p>
        </w:tc>
        <w:tc>
          <w:tcPr>
            <w:tcW w:type="dxa" w:w="2016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Representative quote</w:t>
            </w:r>
          </w:p>
        </w:tc>
      </w:tr>
      <w:tr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Blue River Freight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Regional 3PL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$180k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Reference call approved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Loopline helped our planners get ahead of detention claims instead of reconstructing the story days later.</w:t>
            </w:r>
          </w:p>
        </w:tc>
      </w:tr>
      <w:tr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Ironpath Logistics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Asset-light broker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$120k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Reference call approved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The value is less about chat and more about not losing the operational thread across email, TMS, and customer escalations.</w:t>
            </w:r>
          </w:p>
        </w:tc>
      </w:tr>
      <w:tr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Harbor Oak Transport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Specialized carrier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$95k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Case study pending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The audit trail is what made our operations team comfortable with AI-assisted workflows.</w:t>
            </w:r>
          </w:p>
        </w:tc>
      </w:tr>
      <w:tr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Summit Lane Services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Cold chain logistics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$150k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Do not contact before Q4 expansion</w:t>
            </w:r>
          </w:p>
        </w:tc>
        <w:tc>
          <w:tcPr>
            <w:tcW w:type="dxa" w:w="2016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Expansion opportunity across claims workflow once admin permissions ship.</w:t>
            </w:r>
          </w:p>
        </w:tc>
      </w:tr>
    </w:tbl>
    <w:p>
      <w:pPr>
        <w:pStyle w:val="Heading1"/>
      </w:pPr>
      <w:r>
        <w:t>Expansion signals</w:t>
      </w:r>
    </w:p>
    <w:p>
      <w:pPr>
        <w:pStyle w:val="ListBullet"/>
      </w:pPr>
      <w:r>
        <w:t>9 of 14 paid customers have requested at least one additional workflow module.</w:t>
      </w:r>
    </w:p>
    <w:p>
      <w:pPr>
        <w:pStyle w:val="ListBullet"/>
      </w:pPr>
      <w:r>
        <w:t>4 customers have asked for self-service workflow configuration, which informs the Q4 2026 Workflow Studio roadmap.</w:t>
      </w:r>
    </w:p>
    <w:p>
      <w:pPr>
        <w:pStyle w:val="ListBullet"/>
      </w:pPr>
      <w:r>
        <w:t>Two enterprise prospects require customer-managed keys and EU data residency before full deployment.</w:t>
      </w:r>
    </w:p>
    <w:sectPr w:rsidR="00FC693F" w:rsidRPr="0006063C" w:rsidSect="00034616">
      <w:footerReference w:type="default" r:id="rId9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787878"/>
        <w:sz w:val="16"/>
      </w:rPr>
      <w:t>Confidential sample, not real company information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1F4E79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