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color w:val="646464"/>
          <w:sz w:val="16"/>
        </w:rPr>
        <w:t>Synthetic Series A Data Room | July 2026</w:t>
      </w:r>
    </w:p>
    <w:p>
      <w:pPr>
        <w:pStyle w:val="Title"/>
        <w:jc w:val="left"/>
      </w:pPr>
      <w:r>
        <w:rPr>
          <w:rFonts w:ascii="Aptos Display" w:hAnsi="Aptos Display"/>
          <w:b/>
          <w:color w:val="0B1F33"/>
          <w:sz w:val="44"/>
        </w:rPr>
        <w:t>Product Roadmap and Technical Diligence Notes</w:t>
      </w:r>
    </w:p>
    <w:p>
      <w:r>
        <w:rPr>
          <w:i/>
          <w:color w:val="5A5A5A"/>
          <w:sz w:val="18"/>
        </w:rPr>
        <w:t>Loopline Systems, Inc. - confidential sample document for Base testing</w:t>
      </w:r>
    </w:p>
    <w:p/>
    <w:p>
      <w:pPr>
        <w:pStyle w:val="Heading1"/>
      </w:pPr>
      <w:r>
        <w:t>Roadmap overview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Period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Theme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Representative milestones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Q3 2026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Reliability and connector depth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TMS connector hardening, workflow replay tests, automated source confidence scoring, customer admin console.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Q4 2026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Workflow studio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No-code workflow builder, escalation rules, partner template marketplace, permissions by workflow and role.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H1 2027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Enterprise readiness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SOC 2 Type II, EU data residency, customer-managed keys, private model deployment option.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H2 2027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Network intelligence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Benchmark insights across anonymized lanes, predictive exception risk, carrier scorecards.</w:t>
            </w:r>
          </w:p>
        </w:tc>
      </w:tr>
    </w:tbl>
    <w:p>
      <w:pPr>
        <w:pStyle w:val="Heading1"/>
      </w:pPr>
      <w:r>
        <w:t>Architecture snapshot</w:t>
      </w:r>
    </w:p>
    <w:p>
      <w:r>
        <w:t>Loopline operates a tenant-isolated graph architecture. Customer data is ingested into a private operational graph and indexed for workflow-specific retrieval. Agents cannot perform external actions without explicit workflow permissions and audit events.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Component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Status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Notes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Connector SDK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Beta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Supports McLeod, email, CSV upload, and two generic TMS exports.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Graph service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Production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Entity resolution rules are customer-specific and versioned.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Agent runtime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Production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Human approval mode is required for customer-facing messages.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Evaluation harness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Internal alpha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Replay suite includes 480 historical exception cases.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Admin permissions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Design partner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Role-based access works, field-level permissioning planned Q4.</w:t>
            </w:r>
          </w:p>
        </w:tc>
      </w:tr>
    </w:tbl>
    <w:p>
      <w:pPr>
        <w:pStyle w:val="Heading1"/>
      </w:pPr>
      <w:r>
        <w:t>Known constraints</w:t>
      </w:r>
    </w:p>
    <w:p>
      <w:pPr>
        <w:pStyle w:val="ListBullet"/>
      </w:pPr>
      <w:r>
        <w:t>Implementation still depends on customer data cleanliness and customer access to legacy system exports.</w:t>
      </w:r>
    </w:p>
    <w:p>
      <w:pPr>
        <w:pStyle w:val="ListBullet"/>
      </w:pPr>
      <w:r>
        <w:t>Product supports broad transportation exceptions, but highest ROI is currently detention, missed pickup, and reschedule workflows.</w:t>
      </w:r>
    </w:p>
    <w:p>
      <w:pPr>
        <w:pStyle w:val="ListBullet"/>
      </w:pPr>
      <w:r>
        <w:t>Human approval defaults create trust but delay full automation. The 2027 plan is selective auto-approval for low-risk actions.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Confidential sample, not real company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